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CRONOGRAMA ABRIL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5° BÁSICO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(2° Bloque).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Música: percusión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(13:00 - 13:45 hrs).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diplomas valor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Pintura de paisaje impresionista (traer caja de artes: témpera, cotona/delantal, pincel, mezclador, vaso, paño,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1er Seminario Triple P - 18:00 Online.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Matemáticas: Grandes números: Lectura y escritura, descomposición aditiva.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120" w:before="240"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11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Ciencias Naturales:Traer listo una infografía de:</w:t>
              <w:br w:type="textWrapping"/>
              <w:t xml:space="preserve">Niveles de organización biológica.</w:t>
              <w:br w:type="textWrapping"/>
              <w:t xml:space="preserve">Organismos unicelulares y pluricelulares.</w:t>
              <w:br w:type="textWrapping"/>
              <w:t xml:space="preserve">Formas de diferentes tipos de células·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Tecnología: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objeto tecnológico para la sala,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iniciado la clase anterior.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 Control de comprensión n° 1”(se promedia n° 1 y n° 2 para una nota al libro)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Matemática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 Colgador literario lectura Las Brujas -Roald Dahl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FERIADO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Exposición oral“Análisis de obras postimpresionista.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Ed. Física: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Circuito de estaciones para patrones motores combinados.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Historia: Diseño a escala zonas naturales de chile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heading=h.lre28fvs6ic1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Efeméride #2: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“Día del Libro y la Literatura”.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LENGUAJE:“Control de comprensión n° 2”(se promedia n° 1 y n° 2 para una nota al libro)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29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de contenidos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digestivo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nutrientes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Matemáticas: Operaciones combinadas.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Entrega de calendario de evaluaciones de mayo.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97PjC5gMlnFxq9VRmHw5o8AAQ==">CgMxLjAyDmgubHJlMjhmdnM2aWMxOAByITFXQ3VWQmJuMmFZNWgwaV9SVFZIRVRPcTUyaUxJMEhZUQ==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2025-03-25T13:00:00Z</dcterms:created>
  <dc:creator>Hewlett Packard</dc:creator>
</cp:coreProperties>
</file>